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4535"/>
        <w:gridCol w:w="4535"/>
      </w:tblGrid>
      <w:tr w:rsidR="0027781A" w:rsidRPr="00CC3C35" w:rsidTr="00CC3C35">
        <w:trPr>
          <w:trHeight w:val="397"/>
        </w:trPr>
        <w:tc>
          <w:tcPr>
            <w:tcW w:w="454" w:type="dxa"/>
            <w:vAlign w:val="bottom"/>
          </w:tcPr>
          <w:p w:rsidR="0027781A" w:rsidRPr="00CC3C35" w:rsidRDefault="0027781A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vAlign w:val="bottom"/>
          </w:tcPr>
          <w:p w:rsidR="0027781A" w:rsidRPr="00CC3C35" w:rsidRDefault="0027781A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CC3C35" w:rsidRDefault="00A12A3C" w:rsidP="00764A4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 w:rsidR="002114E5" w:rsidRPr="00CC3C35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6614B" w:rsidRPr="00CC3C35">
              <w:rPr>
                <w:rFonts w:ascii="Arial" w:hAnsi="Arial" w:cs="Arial"/>
                <w:b/>
                <w:sz w:val="18"/>
                <w:szCs w:val="18"/>
              </w:rPr>
              <w:t>V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535" w:type="dxa"/>
            <w:vAlign w:val="bottom"/>
          </w:tcPr>
          <w:p w:rsidR="0027781A" w:rsidRPr="008D389E" w:rsidRDefault="0027781A" w:rsidP="00764A4D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</w:t>
            </w:r>
            <w:r w:rsidR="00A12A3C"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art </w:t>
            </w:r>
            <w:r w:rsidR="002114E5"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I</w:t>
            </w:r>
            <w:r w:rsidR="00E6614B"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V</w:t>
            </w:r>
            <w:r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. </w:t>
            </w:r>
          </w:p>
        </w:tc>
      </w:tr>
      <w:tr w:rsidR="0027781A" w:rsidRPr="00CC3C35" w:rsidTr="00CC3C35">
        <w:trPr>
          <w:trHeight w:val="397"/>
        </w:trPr>
        <w:tc>
          <w:tcPr>
            <w:tcW w:w="454" w:type="dxa"/>
            <w:vAlign w:val="bottom"/>
          </w:tcPr>
          <w:p w:rsidR="0027781A" w:rsidRPr="00CC3C35" w:rsidRDefault="0027781A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vAlign w:val="bottom"/>
          </w:tcPr>
          <w:p w:rsidR="0027781A" w:rsidRPr="00CC3C35" w:rsidRDefault="0027781A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CC3C35" w:rsidRDefault="00764A4D" w:rsidP="00764A4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TABLICE </w:t>
            </w:r>
            <w:r w:rsidR="00E6614B" w:rsidRPr="00CC3C35">
              <w:rPr>
                <w:rFonts w:ascii="Arial" w:hAnsi="Arial" w:cs="Arial"/>
                <w:b/>
                <w:sz w:val="18"/>
                <w:szCs w:val="18"/>
              </w:rPr>
              <w:t>TEMAT</w:t>
            </w:r>
            <w:r>
              <w:rPr>
                <w:rFonts w:ascii="Arial" w:hAnsi="Arial" w:cs="Arial"/>
                <w:b/>
                <w:sz w:val="18"/>
                <w:szCs w:val="18"/>
              </w:rPr>
              <w:t>YCZNE</w:t>
            </w:r>
          </w:p>
        </w:tc>
        <w:tc>
          <w:tcPr>
            <w:tcW w:w="4535" w:type="dxa"/>
            <w:vAlign w:val="bottom"/>
          </w:tcPr>
          <w:p w:rsidR="0027781A" w:rsidRPr="008D389E" w:rsidRDefault="00764A4D" w:rsidP="00764A4D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TABLES </w:t>
            </w:r>
            <w:r w:rsidR="00E6614B"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BY SUBJECT</w:t>
            </w:r>
          </w:p>
        </w:tc>
      </w:tr>
      <w:tr w:rsidR="0027781A" w:rsidRPr="00CC3C35" w:rsidTr="00CC3C35">
        <w:trPr>
          <w:trHeight w:val="397"/>
        </w:trPr>
        <w:tc>
          <w:tcPr>
            <w:tcW w:w="454" w:type="dxa"/>
            <w:vAlign w:val="bottom"/>
          </w:tcPr>
          <w:p w:rsidR="0027781A" w:rsidRPr="00CC3C35" w:rsidRDefault="0027781A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4" w:type="dxa"/>
            <w:vAlign w:val="bottom"/>
          </w:tcPr>
          <w:p w:rsidR="0027781A" w:rsidRPr="00CC3C35" w:rsidRDefault="0027781A" w:rsidP="00764A4D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CC3C35" w:rsidRDefault="0027781A" w:rsidP="00764A4D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8D389E" w:rsidRDefault="0027781A" w:rsidP="00764A4D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CC3C35" w:rsidTr="00CC3C35">
        <w:trPr>
          <w:trHeight w:val="397"/>
        </w:trPr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C3C35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2114E5" w:rsidRPr="00CC3C35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CC3C3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2114E5" w:rsidRPr="00CC3C35">
              <w:rPr>
                <w:rFonts w:ascii="Arial" w:hAnsi="Arial" w:cs="Arial"/>
                <w:b/>
                <w:sz w:val="18"/>
                <w:szCs w:val="18"/>
              </w:rPr>
              <w:t>WARUNKI ŻYCIA</w:t>
            </w:r>
          </w:p>
        </w:tc>
        <w:tc>
          <w:tcPr>
            <w:tcW w:w="4535" w:type="dxa"/>
            <w:vAlign w:val="bottom"/>
          </w:tcPr>
          <w:p w:rsidR="00E6614B" w:rsidRPr="008D389E" w:rsidRDefault="00E6614B" w:rsidP="00764A4D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Chapter </w:t>
            </w:r>
            <w:r w:rsidR="002114E5"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5</w:t>
            </w:r>
            <w:r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. </w:t>
            </w:r>
            <w:r w:rsidR="002114E5"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LIVING CONDITION</w:t>
            </w:r>
            <w:r w:rsidR="00A12A3C" w:rsidRPr="008D389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S</w:t>
            </w:r>
          </w:p>
        </w:tc>
      </w:tr>
      <w:tr w:rsidR="00E6614B" w:rsidRPr="00CC3C35" w:rsidTr="00CC3C35">
        <w:trPr>
          <w:trHeight w:val="397"/>
        </w:trPr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E6614B" w:rsidRPr="008D389E" w:rsidRDefault="00E6614B" w:rsidP="00764A4D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E6614B" w:rsidRPr="00E236FE" w:rsidTr="00CC3C35">
        <w:trPr>
          <w:trHeight w:val="397"/>
        </w:trPr>
        <w:tc>
          <w:tcPr>
            <w:tcW w:w="454" w:type="dxa"/>
            <w:vAlign w:val="bottom"/>
          </w:tcPr>
          <w:p w:rsidR="00E6614B" w:rsidRPr="00CC3C35" w:rsidRDefault="002114E5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</w:t>
            </w:r>
            <w:r w:rsidR="00E6614B" w:rsidRPr="00CC3C3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A50E90" w:rsidRPr="00CC3C35" w:rsidRDefault="002114E5" w:rsidP="00764A4D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Miesięczne wynagrodzenia minimalne</w:t>
            </w:r>
          </w:p>
        </w:tc>
        <w:tc>
          <w:tcPr>
            <w:tcW w:w="4535" w:type="dxa"/>
            <w:vAlign w:val="bottom"/>
          </w:tcPr>
          <w:p w:rsidR="00E6614B" w:rsidRPr="008D389E" w:rsidRDefault="002114E5" w:rsidP="00764A4D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Monthly minimum wages and salaries</w:t>
            </w:r>
          </w:p>
        </w:tc>
      </w:tr>
      <w:tr w:rsidR="00E6614B" w:rsidRPr="00E236FE" w:rsidTr="00CC3C35">
        <w:trPr>
          <w:trHeight w:val="397"/>
        </w:trPr>
        <w:tc>
          <w:tcPr>
            <w:tcW w:w="454" w:type="dxa"/>
            <w:vAlign w:val="bottom"/>
          </w:tcPr>
          <w:p w:rsidR="00E6614B" w:rsidRPr="00CC3C35" w:rsidRDefault="002114E5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A50E90" w:rsidRPr="00CC3C35" w:rsidRDefault="002114E5" w:rsidP="00764A4D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Gospodarstwa domowe według liczby osób</w:t>
            </w:r>
          </w:p>
        </w:tc>
        <w:tc>
          <w:tcPr>
            <w:tcW w:w="4535" w:type="dxa"/>
            <w:vAlign w:val="bottom"/>
          </w:tcPr>
          <w:p w:rsidR="00E6614B" w:rsidRPr="008D389E" w:rsidRDefault="002114E5" w:rsidP="00764A4D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Households by number of persons</w:t>
            </w:r>
          </w:p>
        </w:tc>
      </w:tr>
      <w:tr w:rsidR="00E6614B" w:rsidRPr="00E236FE" w:rsidTr="00CC3C35">
        <w:trPr>
          <w:trHeight w:val="510"/>
        </w:trPr>
        <w:tc>
          <w:tcPr>
            <w:tcW w:w="454" w:type="dxa"/>
            <w:vAlign w:val="bottom"/>
          </w:tcPr>
          <w:p w:rsidR="00E6614B" w:rsidRPr="00CC3C35" w:rsidRDefault="002114E5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5" w:type="dxa"/>
            <w:vAlign w:val="bottom"/>
          </w:tcPr>
          <w:p w:rsidR="00E6614B" w:rsidRPr="00CC3C35" w:rsidRDefault="002114E5" w:rsidP="00764A4D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S</w:t>
            </w:r>
            <w:r w:rsidR="00A50E90" w:rsidRPr="00CC3C35">
              <w:rPr>
                <w:rFonts w:ascii="Arial" w:hAnsi="Arial" w:cs="Arial"/>
                <w:sz w:val="18"/>
                <w:szCs w:val="18"/>
              </w:rPr>
              <w:t xml:space="preserve">pożycie indywidualne w sektorze </w:t>
            </w:r>
            <w:r w:rsidRPr="00CC3C35">
              <w:rPr>
                <w:rFonts w:ascii="Arial" w:hAnsi="Arial" w:cs="Arial"/>
                <w:sz w:val="18"/>
                <w:szCs w:val="18"/>
              </w:rPr>
              <w:t>gospodarstw domowych (ceny bieżące)</w:t>
            </w:r>
          </w:p>
        </w:tc>
        <w:tc>
          <w:tcPr>
            <w:tcW w:w="4535" w:type="dxa"/>
            <w:vAlign w:val="bottom"/>
          </w:tcPr>
          <w:p w:rsidR="00E6614B" w:rsidRPr="008D389E" w:rsidRDefault="002114E5" w:rsidP="00764A4D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Structure of households final consumption expenditure (current prices)</w:t>
            </w:r>
          </w:p>
        </w:tc>
      </w:tr>
      <w:tr w:rsidR="00E6614B" w:rsidRPr="00E236FE" w:rsidTr="00CC3C35">
        <w:trPr>
          <w:trHeight w:val="510"/>
        </w:trPr>
        <w:tc>
          <w:tcPr>
            <w:tcW w:w="454" w:type="dxa"/>
            <w:vAlign w:val="bottom"/>
          </w:tcPr>
          <w:p w:rsidR="00E6614B" w:rsidRPr="00CC3C35" w:rsidRDefault="002114E5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5" w:type="dxa"/>
            <w:vAlign w:val="bottom"/>
          </w:tcPr>
          <w:p w:rsidR="00E6614B" w:rsidRPr="00CC3C35" w:rsidRDefault="002114E5" w:rsidP="00E236F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 xml:space="preserve">Subiektywna ocena sytuacji </w:t>
            </w:r>
            <w:r w:rsidR="00E236FE">
              <w:rPr>
                <w:rFonts w:ascii="Arial" w:hAnsi="Arial" w:cs="Arial"/>
                <w:sz w:val="18"/>
                <w:szCs w:val="18"/>
              </w:rPr>
              <w:t>doch</w:t>
            </w:r>
            <w:r w:rsidRPr="00CC3C35">
              <w:rPr>
                <w:rFonts w:ascii="Arial" w:hAnsi="Arial" w:cs="Arial"/>
                <w:sz w:val="18"/>
                <w:szCs w:val="18"/>
              </w:rPr>
              <w:t>o</w:t>
            </w:r>
            <w:r w:rsidR="00E236FE">
              <w:rPr>
                <w:rFonts w:ascii="Arial" w:hAnsi="Arial" w:cs="Arial"/>
                <w:sz w:val="18"/>
                <w:szCs w:val="18"/>
              </w:rPr>
              <w:t>do</w:t>
            </w:r>
            <w:r w:rsidRPr="00CC3C35">
              <w:rPr>
                <w:rFonts w:ascii="Arial" w:hAnsi="Arial" w:cs="Arial"/>
                <w:sz w:val="18"/>
                <w:szCs w:val="18"/>
              </w:rPr>
              <w:t>wej gospodarstw domowych</w:t>
            </w:r>
          </w:p>
        </w:tc>
        <w:tc>
          <w:tcPr>
            <w:tcW w:w="4535" w:type="dxa"/>
            <w:vAlign w:val="bottom"/>
          </w:tcPr>
          <w:p w:rsidR="00E6614B" w:rsidRPr="008D389E" w:rsidRDefault="002114E5" w:rsidP="00764A4D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Subjective evaluation of households income situation</w:t>
            </w:r>
          </w:p>
        </w:tc>
      </w:tr>
      <w:tr w:rsidR="00E6614B" w:rsidRPr="00E236FE" w:rsidTr="00CC3C35">
        <w:trPr>
          <w:trHeight w:val="510"/>
        </w:trPr>
        <w:tc>
          <w:tcPr>
            <w:tcW w:w="454" w:type="dxa"/>
            <w:vAlign w:val="bottom"/>
          </w:tcPr>
          <w:p w:rsidR="00E6614B" w:rsidRPr="00CC3C35" w:rsidRDefault="002114E5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5" w:type="dxa"/>
            <w:vAlign w:val="bottom"/>
          </w:tcPr>
          <w:p w:rsidR="00E6614B" w:rsidRPr="00CC3C35" w:rsidRDefault="002114E5" w:rsidP="00764A4D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Mediana dochodu ekwiwalentnego do dyspozycji netto</w:t>
            </w:r>
          </w:p>
        </w:tc>
        <w:tc>
          <w:tcPr>
            <w:tcW w:w="4535" w:type="dxa"/>
            <w:vAlign w:val="bottom"/>
          </w:tcPr>
          <w:p w:rsidR="00E6614B" w:rsidRPr="008D389E" w:rsidRDefault="002114E5" w:rsidP="00764A4D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Median of </w:t>
            </w:r>
            <w:proofErr w:type="spellStart"/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equivalised</w:t>
            </w:r>
            <w:proofErr w:type="spellEnd"/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disposable net income</w:t>
            </w:r>
          </w:p>
        </w:tc>
      </w:tr>
      <w:tr w:rsidR="00E6614B" w:rsidRPr="00CC3C35" w:rsidTr="00CC3C35">
        <w:trPr>
          <w:trHeight w:val="397"/>
        </w:trPr>
        <w:tc>
          <w:tcPr>
            <w:tcW w:w="454" w:type="dxa"/>
            <w:vAlign w:val="bottom"/>
          </w:tcPr>
          <w:p w:rsidR="00E6614B" w:rsidRPr="00CC3C35" w:rsidRDefault="002114E5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5" w:type="dxa"/>
            <w:vAlign w:val="bottom"/>
          </w:tcPr>
          <w:p w:rsidR="00A50E90" w:rsidRPr="00CC3C35" w:rsidRDefault="002114E5" w:rsidP="00764A4D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Ubóstwo</w:t>
            </w:r>
            <w:bookmarkStart w:id="0" w:name="_GoBack"/>
            <w:bookmarkEnd w:id="0"/>
          </w:p>
        </w:tc>
        <w:tc>
          <w:tcPr>
            <w:tcW w:w="4535" w:type="dxa"/>
            <w:vAlign w:val="bottom"/>
          </w:tcPr>
          <w:p w:rsidR="00E6614B" w:rsidRPr="008D389E" w:rsidRDefault="002114E5" w:rsidP="00764A4D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Poverty</w:t>
            </w:r>
          </w:p>
        </w:tc>
      </w:tr>
      <w:tr w:rsidR="00E6614B" w:rsidRPr="00E236FE" w:rsidTr="00CC3C35">
        <w:trPr>
          <w:trHeight w:val="510"/>
        </w:trPr>
        <w:tc>
          <w:tcPr>
            <w:tcW w:w="454" w:type="dxa"/>
            <w:vAlign w:val="bottom"/>
          </w:tcPr>
          <w:p w:rsidR="00E6614B" w:rsidRPr="00CC3C35" w:rsidRDefault="002114E5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35" w:type="dxa"/>
            <w:vAlign w:val="bottom"/>
          </w:tcPr>
          <w:p w:rsidR="00E6614B" w:rsidRPr="00CC3C35" w:rsidRDefault="002114E5" w:rsidP="00764A4D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Granica ubóstwa — na podstawie badania EU-SILC</w:t>
            </w:r>
          </w:p>
        </w:tc>
        <w:tc>
          <w:tcPr>
            <w:tcW w:w="4535" w:type="dxa"/>
            <w:vAlign w:val="bottom"/>
          </w:tcPr>
          <w:p w:rsidR="00E6614B" w:rsidRPr="008D389E" w:rsidRDefault="002114E5" w:rsidP="00764A4D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At-risk-</w:t>
            </w:r>
            <w:r w:rsidR="00391298"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of-</w:t>
            </w: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poverty threshold — on the EU-SILC survey basis</w:t>
            </w:r>
          </w:p>
        </w:tc>
      </w:tr>
      <w:tr w:rsidR="00E6614B" w:rsidRPr="00E236FE" w:rsidTr="00CC3C35">
        <w:trPr>
          <w:trHeight w:val="510"/>
        </w:trPr>
        <w:tc>
          <w:tcPr>
            <w:tcW w:w="454" w:type="dxa"/>
            <w:vAlign w:val="bottom"/>
          </w:tcPr>
          <w:p w:rsidR="00E6614B" w:rsidRPr="00CC3C35" w:rsidRDefault="002114E5" w:rsidP="00764A4D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4" w:type="dxa"/>
            <w:vAlign w:val="bottom"/>
          </w:tcPr>
          <w:p w:rsidR="00E6614B" w:rsidRPr="00CC3C35" w:rsidRDefault="00E6614B" w:rsidP="00764A4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35" w:type="dxa"/>
            <w:vAlign w:val="bottom"/>
          </w:tcPr>
          <w:p w:rsidR="00E6614B" w:rsidRPr="00CC3C35" w:rsidRDefault="002114E5" w:rsidP="00764A4D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CC3C35">
              <w:rPr>
                <w:rFonts w:ascii="Arial" w:hAnsi="Arial" w:cs="Arial"/>
                <w:sz w:val="18"/>
                <w:szCs w:val="18"/>
              </w:rPr>
              <w:t>Wskaźnik zagrożenia ubóstwem – na podstawie badania EU-SILC</w:t>
            </w:r>
          </w:p>
        </w:tc>
        <w:tc>
          <w:tcPr>
            <w:tcW w:w="4535" w:type="dxa"/>
            <w:vAlign w:val="bottom"/>
          </w:tcPr>
          <w:p w:rsidR="00E6614B" w:rsidRPr="008D389E" w:rsidRDefault="002114E5" w:rsidP="00764A4D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At-risk-</w:t>
            </w:r>
            <w:r w:rsidR="00391298"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of-</w:t>
            </w:r>
            <w:r w:rsidRPr="008D389E">
              <w:rPr>
                <w:rFonts w:ascii="Arial" w:hAnsi="Arial" w:cs="Arial"/>
                <w:i/>
                <w:sz w:val="18"/>
                <w:szCs w:val="18"/>
                <w:lang w:val="en-US"/>
              </w:rPr>
              <w:t>poverty rate — on the EU-SILC survey basis</w:t>
            </w:r>
          </w:p>
        </w:tc>
      </w:tr>
    </w:tbl>
    <w:p w:rsidR="00F777F7" w:rsidRPr="00A50E90" w:rsidRDefault="00F777F7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A50E90" w:rsidSect="00CC3C35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2114E5"/>
    <w:rsid w:val="0027781A"/>
    <w:rsid w:val="00282BD7"/>
    <w:rsid w:val="00391298"/>
    <w:rsid w:val="00764A4D"/>
    <w:rsid w:val="008D389E"/>
    <w:rsid w:val="00992F58"/>
    <w:rsid w:val="00A07261"/>
    <w:rsid w:val="00A12A3C"/>
    <w:rsid w:val="00A50E90"/>
    <w:rsid w:val="00CC3C35"/>
    <w:rsid w:val="00E236FE"/>
    <w:rsid w:val="00E6614B"/>
    <w:rsid w:val="00EF4222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282BD7"/>
    <w:rPr>
      <w:color w:val="221E1F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13</cp:revision>
  <cp:lastPrinted>2015-10-30T09:19:00Z</cp:lastPrinted>
  <dcterms:created xsi:type="dcterms:W3CDTF">2015-10-28T13:59:00Z</dcterms:created>
  <dcterms:modified xsi:type="dcterms:W3CDTF">2015-10-30T11:17:00Z</dcterms:modified>
</cp:coreProperties>
</file>